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C4889" w14:textId="77777777" w:rsidR="0003544A" w:rsidRPr="00785F6C" w:rsidRDefault="00830877" w:rsidP="0003544A">
      <w:pPr>
        <w:pStyle w:val="title18"/>
        <w:pBdr>
          <w:bottom w:val="single" w:sz="4" w:space="1" w:color="auto"/>
        </w:pBdr>
        <w:suppressAutoHyphens/>
        <w:spacing w:line="240" w:lineRule="auto"/>
        <w:rPr>
          <w:sz w:val="32"/>
          <w:szCs w:val="32"/>
        </w:rPr>
      </w:pPr>
      <w:r>
        <w:rPr>
          <w:sz w:val="32"/>
          <w:szCs w:val="32"/>
        </w:rPr>
        <w:t>MAINE</w:t>
      </w:r>
      <w:r w:rsidR="0003544A" w:rsidRPr="00785F6C">
        <w:rPr>
          <w:sz w:val="32"/>
          <w:szCs w:val="32"/>
        </w:rPr>
        <w:t xml:space="preserve"> CHANGES</w:t>
      </w:r>
    </w:p>
    <w:p w14:paraId="41F781F7" w14:textId="77777777" w:rsidR="00D10AE3" w:rsidRPr="00785F6C" w:rsidRDefault="0003544A" w:rsidP="0003544A">
      <w:pPr>
        <w:pStyle w:val="BodyText"/>
        <w:spacing w:before="80"/>
        <w:jc w:val="center"/>
        <w:rPr>
          <w:b/>
          <w:sz w:val="28"/>
          <w:szCs w:val="28"/>
        </w:rPr>
      </w:pPr>
      <w:r w:rsidRPr="00785F6C">
        <w:rPr>
          <w:b/>
          <w:sz w:val="28"/>
          <w:szCs w:val="28"/>
        </w:rPr>
        <w:t>Amendatory Endorsement</w:t>
      </w:r>
    </w:p>
    <w:p w14:paraId="2EBEC4BB" w14:textId="77777777" w:rsidR="00017B0D" w:rsidRPr="00785F6C" w:rsidRDefault="00017B0D" w:rsidP="007F70C5">
      <w:pPr>
        <w:pStyle w:val="blocktext1"/>
        <w:suppressAutoHyphens/>
        <w:rPr>
          <w:sz w:val="28"/>
          <w:szCs w:val="28"/>
        </w:rPr>
        <w:sectPr w:rsidR="00017B0D" w:rsidRPr="00785F6C" w:rsidSect="001E387C">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4F127630" w14:textId="77777777" w:rsidR="00C7106C" w:rsidRPr="0061527F" w:rsidRDefault="00C7106C" w:rsidP="00C7106C">
      <w:pPr>
        <w:pStyle w:val="blocktext1"/>
        <w:keepLines w:val="0"/>
        <w:widowControl w:val="0"/>
        <w:suppressAutoHyphens/>
        <w:spacing w:line="240" w:lineRule="auto"/>
        <w:jc w:val="center"/>
        <w:rPr>
          <w:rFonts w:cs="Arial"/>
          <w:sz w:val="24"/>
          <w:szCs w:val="24"/>
        </w:rPr>
      </w:pPr>
      <w:bookmarkStart w:id="0" w:name="EndDoc"/>
      <w:bookmarkEnd w:id="0"/>
      <w:r w:rsidRPr="0061527F">
        <w:rPr>
          <w:rFonts w:cs="Arial"/>
          <w:sz w:val="24"/>
          <w:szCs w:val="24"/>
        </w:rPr>
        <w:t>This endorsement changes the policy. Please read it carefully.</w:t>
      </w:r>
    </w:p>
    <w:p w14:paraId="124D0035" w14:textId="77777777" w:rsidR="004C137B" w:rsidRPr="00FF16E4" w:rsidRDefault="004C137B" w:rsidP="00590958">
      <w:pPr>
        <w:pStyle w:val="blocktext1"/>
        <w:keepLines w:val="0"/>
        <w:widowControl w:val="0"/>
        <w:suppressAutoHyphens/>
        <w:spacing w:line="240" w:lineRule="auto"/>
        <w:rPr>
          <w:rFonts w:cs="Arial"/>
        </w:rPr>
      </w:pPr>
    </w:p>
    <w:p w14:paraId="2F0DB2E4" w14:textId="77777777" w:rsidR="00594DC7" w:rsidRPr="0061527F" w:rsidRDefault="00594DC7" w:rsidP="006E26E8">
      <w:pPr>
        <w:pStyle w:val="blocktext1"/>
        <w:keepLines w:val="0"/>
        <w:widowControl w:val="0"/>
        <w:suppressAutoHyphens/>
        <w:spacing w:line="240" w:lineRule="auto"/>
        <w:rPr>
          <w:rFonts w:cs="Arial"/>
        </w:rPr>
      </w:pPr>
      <w:r w:rsidRPr="0061527F">
        <w:rPr>
          <w:rFonts w:cs="Arial"/>
        </w:rPr>
        <w:t xml:space="preserve">This endorsement modifies the insurance provided under the following: </w:t>
      </w:r>
    </w:p>
    <w:p w14:paraId="3B94B32A" w14:textId="77777777" w:rsidR="00594DC7" w:rsidRPr="0061527F" w:rsidRDefault="00550E66" w:rsidP="006E26E8">
      <w:pPr>
        <w:pStyle w:val="blocktext1"/>
        <w:keepLines w:val="0"/>
        <w:widowControl w:val="0"/>
        <w:suppressAutoHyphens/>
        <w:spacing w:line="240" w:lineRule="auto"/>
        <w:rPr>
          <w:rFonts w:cs="Arial"/>
        </w:rPr>
      </w:pPr>
      <w:r w:rsidRPr="0061527F">
        <w:rPr>
          <w:rFonts w:cs="Arial"/>
          <w:b/>
        </w:rPr>
        <w:t>Cyber Suite</w:t>
      </w:r>
      <w:r w:rsidR="005549E4" w:rsidRPr="0061527F">
        <w:rPr>
          <w:rFonts w:cs="Arial"/>
          <w:b/>
        </w:rPr>
        <w:t xml:space="preserve"> </w:t>
      </w:r>
      <w:r w:rsidR="00BC413F" w:rsidRPr="0061527F">
        <w:rPr>
          <w:rFonts w:cs="Arial"/>
          <w:b/>
        </w:rPr>
        <w:t xml:space="preserve">Coverage </w:t>
      </w:r>
    </w:p>
    <w:p w14:paraId="52AA2008" w14:textId="77777777" w:rsidR="00785F6C" w:rsidRDefault="00785F6C" w:rsidP="006E26E8">
      <w:pPr>
        <w:pStyle w:val="blocktext1"/>
        <w:keepLines w:val="0"/>
        <w:widowControl w:val="0"/>
        <w:suppressAutoHyphens/>
        <w:spacing w:line="240" w:lineRule="auto"/>
        <w:rPr>
          <w:rFonts w:cs="Arial"/>
        </w:rPr>
      </w:pPr>
    </w:p>
    <w:p w14:paraId="2AE65514" w14:textId="77777777" w:rsidR="005553FC" w:rsidRDefault="00431CD7" w:rsidP="006E26E8">
      <w:pPr>
        <w:pStyle w:val="blockhd1"/>
        <w:keepNext w:val="0"/>
        <w:keepLines w:val="0"/>
        <w:widowControl w:val="0"/>
        <w:tabs>
          <w:tab w:val="left" w:pos="360"/>
        </w:tabs>
        <w:spacing w:line="240" w:lineRule="auto"/>
        <w:ind w:left="360" w:hanging="360"/>
        <w:jc w:val="both"/>
        <w:rPr>
          <w:rFonts w:cs="Arial"/>
        </w:rPr>
      </w:pPr>
      <w:r>
        <w:rPr>
          <w:rFonts w:cs="Arial"/>
        </w:rPr>
        <w:t>1</w:t>
      </w:r>
      <w:r w:rsidR="005553FC" w:rsidRPr="00431CD7">
        <w:rPr>
          <w:rFonts w:cs="Arial"/>
        </w:rPr>
        <w:t>.</w:t>
      </w:r>
      <w:r w:rsidR="005553FC">
        <w:rPr>
          <w:rFonts w:cs="Arial"/>
        </w:rPr>
        <w:tab/>
      </w:r>
      <w:r w:rsidR="00B0723B">
        <w:t xml:space="preserve">C. </w:t>
      </w:r>
      <w:r w:rsidR="005553FC" w:rsidRPr="00D8396B">
        <w:rPr>
          <w:rFonts w:cs="Arial"/>
        </w:rPr>
        <w:t>LIMITS</w:t>
      </w:r>
      <w:r w:rsidR="00B0723B">
        <w:rPr>
          <w:rFonts w:cs="Arial"/>
        </w:rPr>
        <w:t xml:space="preserve"> OF INSURANCE</w:t>
      </w:r>
      <w:r w:rsidR="005553FC" w:rsidRPr="0025023D">
        <w:rPr>
          <w:rFonts w:cs="Arial"/>
          <w:b w:val="0"/>
        </w:rPr>
        <w:t>,</w:t>
      </w:r>
      <w:r w:rsidR="005553FC">
        <w:rPr>
          <w:rFonts w:cs="Arial"/>
        </w:rPr>
        <w:t xml:space="preserve"> </w:t>
      </w:r>
      <w:r w:rsidR="00334B0E">
        <w:rPr>
          <w:rFonts w:cs="Arial"/>
        </w:rPr>
        <w:t>3</w:t>
      </w:r>
      <w:r w:rsidR="00B0723B" w:rsidRPr="00B0723B">
        <w:rPr>
          <w:rFonts w:cs="Arial"/>
        </w:rPr>
        <w:t>. Application of Limits</w:t>
      </w:r>
      <w:r w:rsidR="00B0723B">
        <w:rPr>
          <w:rFonts w:cs="Arial"/>
          <w:b w:val="0"/>
        </w:rPr>
        <w:t xml:space="preserve">, paragraph </w:t>
      </w:r>
      <w:r w:rsidR="00B0723B" w:rsidRPr="00431CD7">
        <w:rPr>
          <w:rFonts w:cs="Arial"/>
        </w:rPr>
        <w:t>c.</w:t>
      </w:r>
      <w:r w:rsidR="00E55437">
        <w:rPr>
          <w:rFonts w:cs="Arial"/>
          <w:b w:val="0"/>
        </w:rPr>
        <w:t xml:space="preserve"> </w:t>
      </w:r>
      <w:r w:rsidR="005553FC" w:rsidRPr="00D8396B">
        <w:rPr>
          <w:rFonts w:cs="Arial"/>
          <w:b w:val="0"/>
        </w:rPr>
        <w:t>is deleted and replaced with the following:</w:t>
      </w:r>
    </w:p>
    <w:p w14:paraId="615AB562" w14:textId="1EC88718" w:rsidR="005553FC" w:rsidRDefault="001B6F24" w:rsidP="001B6F24">
      <w:pPr>
        <w:pStyle w:val="blocktext1"/>
        <w:keepLines w:val="0"/>
        <w:widowControl w:val="0"/>
        <w:suppressAutoHyphens/>
        <w:spacing w:line="240" w:lineRule="auto"/>
        <w:ind w:left="720" w:hanging="360"/>
      </w:pPr>
      <w:r w:rsidRPr="00431CD7">
        <w:rPr>
          <w:b/>
        </w:rPr>
        <w:t>c.</w:t>
      </w:r>
      <w:r>
        <w:tab/>
      </w:r>
      <w:r w:rsidR="0025023D" w:rsidRPr="00E55437">
        <w:t xml:space="preserve">Notwithstanding the foregoing, </w:t>
      </w:r>
      <w:proofErr w:type="gramStart"/>
      <w:r w:rsidR="0025023D" w:rsidRPr="00E55437">
        <w:t>in the event that</w:t>
      </w:r>
      <w:proofErr w:type="gramEnd"/>
      <w:r w:rsidR="0025023D" w:rsidRPr="00E55437">
        <w:t xml:space="preserve"> you purchase the Supplemental Extended Reporting Period pursuant to the terms of </w:t>
      </w:r>
      <w:r w:rsidR="00B0723B" w:rsidRPr="00B0723B">
        <w:rPr>
          <w:b/>
        </w:rPr>
        <w:t>E. ADDITIONAL CONDITIONS</w:t>
      </w:r>
      <w:r w:rsidR="00B0723B">
        <w:t>,</w:t>
      </w:r>
      <w:r w:rsidR="00B0723B" w:rsidRPr="00E55437">
        <w:t xml:space="preserve"> </w:t>
      </w:r>
      <w:r w:rsidR="00DB07DF">
        <w:rPr>
          <w:b/>
        </w:rPr>
        <w:t>6</w:t>
      </w:r>
      <w:r w:rsidR="00B0723B" w:rsidRPr="00B0723B">
        <w:rPr>
          <w:b/>
        </w:rPr>
        <w:t>.</w:t>
      </w:r>
      <w:r w:rsidR="00334B0E">
        <w:rPr>
          <w:b/>
        </w:rPr>
        <w:t xml:space="preserve"> </w:t>
      </w:r>
      <w:r w:rsidR="00B0723B" w:rsidRPr="00B0723B">
        <w:rPr>
          <w:b/>
        </w:rPr>
        <w:t>Extended Reporting Periods</w:t>
      </w:r>
      <w:r w:rsidR="00B0723B">
        <w:t xml:space="preserve">, paragraph </w:t>
      </w:r>
      <w:r w:rsidR="0061527F" w:rsidRPr="00431CD7">
        <w:rPr>
          <w:b/>
        </w:rPr>
        <w:t>b. (</w:t>
      </w:r>
      <w:r w:rsidR="00B0723B" w:rsidRPr="00431CD7">
        <w:rPr>
          <w:b/>
        </w:rPr>
        <w:t>2)</w:t>
      </w:r>
      <w:r w:rsidR="00B0723B">
        <w:t>,</w:t>
      </w:r>
      <w:r w:rsidR="0025023D" w:rsidRPr="00E55437">
        <w:t xml:space="preserve"> the limit of liability for the Supplemental Extended Reporting Period (if applicable) shall be equal to the </w:t>
      </w:r>
      <w:r w:rsidR="00B0723B">
        <w:t>applicable liability limit</w:t>
      </w:r>
      <w:r w:rsidR="0025023D" w:rsidRPr="00E55437">
        <w:t>. The limit of liability for the Supplemental Extended Reporting Period, if purchased, shall be solely for “</w:t>
      </w:r>
      <w:r w:rsidR="00B0723B">
        <w:t>claims</w:t>
      </w:r>
      <w:r w:rsidR="0025023D" w:rsidRPr="00E55437">
        <w:t xml:space="preserve">” of which you first receive notice during said Supplemental Extended Reporting Period for any </w:t>
      </w:r>
      <w:r w:rsidR="00B0723B">
        <w:t>“wrongful acts”</w:t>
      </w:r>
      <w:r w:rsidR="0025023D" w:rsidRPr="00E55437">
        <w:rPr>
          <w:color w:val="FF0000"/>
        </w:rPr>
        <w:t xml:space="preserve"> </w:t>
      </w:r>
      <w:r w:rsidR="0025023D" w:rsidRPr="00E55437">
        <w:t xml:space="preserve">occurring before the end of the coverage period for this </w:t>
      </w:r>
      <w:r w:rsidR="000A3FDF">
        <w:t xml:space="preserve">Cyber </w:t>
      </w:r>
      <w:r w:rsidR="00B0723B">
        <w:t>C</w:t>
      </w:r>
      <w:r w:rsidR="0025023D" w:rsidRPr="00E55437">
        <w:t xml:space="preserve">overage and which is otherwise covered by this </w:t>
      </w:r>
      <w:r w:rsidR="000A3FDF">
        <w:t xml:space="preserve">Cyber </w:t>
      </w:r>
      <w:r w:rsidR="00B0723B">
        <w:t>C</w:t>
      </w:r>
      <w:r w:rsidR="0025023D" w:rsidRPr="00E55437">
        <w:t xml:space="preserve">overage and shall be in addition to, and not part of, the </w:t>
      </w:r>
      <w:r w:rsidR="00B0723B">
        <w:t>applicable liability limit</w:t>
      </w:r>
      <w:r w:rsidR="0025023D" w:rsidRPr="00E55437">
        <w:t xml:space="preserve"> for the preceding coverage period.</w:t>
      </w:r>
    </w:p>
    <w:p w14:paraId="7F478BF5" w14:textId="77777777" w:rsidR="00CA4CBA" w:rsidRDefault="00431CD7" w:rsidP="006E26E8">
      <w:pPr>
        <w:pStyle w:val="Hanging3"/>
        <w:widowControl w:val="0"/>
        <w:suppressAutoHyphens/>
        <w:spacing w:line="240" w:lineRule="auto"/>
        <w:ind w:left="360"/>
        <w:rPr>
          <w:rFonts w:cs="Arial"/>
        </w:rPr>
      </w:pPr>
      <w:r>
        <w:rPr>
          <w:b/>
        </w:rPr>
        <w:t>2</w:t>
      </w:r>
      <w:r w:rsidR="00CA4CBA" w:rsidRPr="00431CD7">
        <w:rPr>
          <w:b/>
        </w:rPr>
        <w:t>.</w:t>
      </w:r>
      <w:r w:rsidR="00CA4CBA">
        <w:tab/>
      </w:r>
      <w:r w:rsidR="00CA4CBA" w:rsidRPr="003F684C">
        <w:rPr>
          <w:rFonts w:cs="Arial"/>
          <w:b/>
        </w:rPr>
        <w:t>E</w:t>
      </w:r>
      <w:r w:rsidR="00B0723B">
        <w:rPr>
          <w:rFonts w:cs="Arial"/>
          <w:b/>
        </w:rPr>
        <w:t>.</w:t>
      </w:r>
      <w:r w:rsidR="00334B0E">
        <w:rPr>
          <w:rFonts w:cs="Arial"/>
          <w:b/>
        </w:rPr>
        <w:t xml:space="preserve"> </w:t>
      </w:r>
      <w:r w:rsidR="00CA4CBA">
        <w:rPr>
          <w:rFonts w:cs="Arial"/>
          <w:b/>
        </w:rPr>
        <w:t>ADDITIONAL CONDITIONS</w:t>
      </w:r>
      <w:r w:rsidR="00CA4CBA">
        <w:rPr>
          <w:rFonts w:cs="Arial"/>
        </w:rPr>
        <w:t xml:space="preserve">, </w:t>
      </w:r>
      <w:r w:rsidR="00DB07DF">
        <w:rPr>
          <w:rFonts w:cs="Arial"/>
          <w:b/>
        </w:rPr>
        <w:t>6</w:t>
      </w:r>
      <w:r w:rsidR="00CA4CBA">
        <w:rPr>
          <w:rFonts w:cs="Arial"/>
          <w:b/>
        </w:rPr>
        <w:t>. Extended Reporting Periods</w:t>
      </w:r>
      <w:r w:rsidR="00CA4CBA">
        <w:rPr>
          <w:rFonts w:cs="Arial"/>
        </w:rPr>
        <w:t xml:space="preserve">, paragraph </w:t>
      </w:r>
      <w:r w:rsidR="00B0723B" w:rsidRPr="00195D1F">
        <w:rPr>
          <w:rFonts w:cs="Arial"/>
          <w:b/>
        </w:rPr>
        <w:t>a</w:t>
      </w:r>
      <w:r w:rsidR="00CA4CBA" w:rsidRPr="00195D1F">
        <w:rPr>
          <w:rFonts w:cs="Arial"/>
          <w:b/>
        </w:rPr>
        <w:t>.</w:t>
      </w:r>
      <w:r w:rsidR="00CA4CBA">
        <w:rPr>
          <w:rFonts w:cs="Arial"/>
        </w:rPr>
        <w:t xml:space="preserve"> is deleted and replaced with the following:</w:t>
      </w:r>
    </w:p>
    <w:p w14:paraId="76D13980" w14:textId="77777777" w:rsidR="006D0D37" w:rsidRDefault="00B0723B" w:rsidP="006E26E8">
      <w:pPr>
        <w:pStyle w:val="Hanging2"/>
        <w:spacing w:line="240" w:lineRule="auto"/>
      </w:pPr>
      <w:r w:rsidRPr="00431CD7">
        <w:rPr>
          <w:b/>
        </w:rPr>
        <w:t>a</w:t>
      </w:r>
      <w:r w:rsidR="00E55437" w:rsidRPr="00431CD7">
        <w:rPr>
          <w:b/>
        </w:rPr>
        <w:t>.</w:t>
      </w:r>
      <w:r w:rsidR="00E55437">
        <w:tab/>
        <w:t>You shall have the right to the Extended Reporting Periods described in this section, in the event of a “termination of coverage”.</w:t>
      </w:r>
    </w:p>
    <w:p w14:paraId="5397DB4F" w14:textId="77777777" w:rsidR="00E55437" w:rsidRDefault="00E55437" w:rsidP="006E26E8">
      <w:pPr>
        <w:pStyle w:val="Hanging2"/>
        <w:spacing w:line="240" w:lineRule="auto"/>
        <w:ind w:firstLine="0"/>
      </w:pPr>
      <w:r>
        <w:t xml:space="preserve">The limit of liability for the Supplemental Extended Reporting Period shall be as set forth in </w:t>
      </w:r>
      <w:r w:rsidR="00B0723B" w:rsidRPr="00B0723B">
        <w:rPr>
          <w:b/>
        </w:rPr>
        <w:t>C. LIMITS OF INSURANCE</w:t>
      </w:r>
      <w:r w:rsidR="00B0723B">
        <w:t xml:space="preserve">, </w:t>
      </w:r>
      <w:r w:rsidR="00334B0E">
        <w:rPr>
          <w:b/>
        </w:rPr>
        <w:t>3</w:t>
      </w:r>
      <w:r w:rsidR="00B0723B" w:rsidRPr="00B0723B">
        <w:rPr>
          <w:b/>
        </w:rPr>
        <w:t>. Application of Limits</w:t>
      </w:r>
      <w:r w:rsidR="00B0723B">
        <w:t xml:space="preserve">, paragraph </w:t>
      </w:r>
      <w:r w:rsidR="00B0723B" w:rsidRPr="00431CD7">
        <w:rPr>
          <w:b/>
        </w:rPr>
        <w:t>c.</w:t>
      </w:r>
      <w:r w:rsidR="00B0723B">
        <w:t xml:space="preserve"> of this </w:t>
      </w:r>
      <w:r w:rsidR="000A3FDF">
        <w:t xml:space="preserve">Cyber </w:t>
      </w:r>
      <w:r w:rsidR="00B0723B">
        <w:t xml:space="preserve">Coverage </w:t>
      </w:r>
      <w:r w:rsidR="00096DF1">
        <w:t xml:space="preserve">(as modified in paragraph </w:t>
      </w:r>
      <w:r w:rsidR="00431CD7">
        <w:rPr>
          <w:b/>
        </w:rPr>
        <w:t>1</w:t>
      </w:r>
      <w:r w:rsidR="00096DF1" w:rsidRPr="00431CD7">
        <w:rPr>
          <w:b/>
        </w:rPr>
        <w:t>.</w:t>
      </w:r>
      <w:r w:rsidR="00096DF1">
        <w:t xml:space="preserve"> above in this amendatory endorsement)</w:t>
      </w:r>
      <w:r>
        <w:t>.</w:t>
      </w:r>
    </w:p>
    <w:p w14:paraId="43B2C552" w14:textId="5B9E6751" w:rsidR="00484C63" w:rsidRDefault="00431CD7" w:rsidP="006E26E8">
      <w:pPr>
        <w:pStyle w:val="Hanging3"/>
        <w:widowControl w:val="0"/>
        <w:suppressAutoHyphens/>
        <w:spacing w:line="240" w:lineRule="auto"/>
        <w:ind w:left="360"/>
        <w:rPr>
          <w:rFonts w:cs="Arial"/>
        </w:rPr>
      </w:pPr>
      <w:r>
        <w:rPr>
          <w:b/>
        </w:rPr>
        <w:t>3</w:t>
      </w:r>
      <w:r w:rsidR="00484C63" w:rsidRPr="00431CD7">
        <w:rPr>
          <w:b/>
        </w:rPr>
        <w:t>.</w:t>
      </w:r>
      <w:r w:rsidR="00484C63">
        <w:tab/>
      </w:r>
      <w:r w:rsidR="00484C63" w:rsidRPr="003F684C">
        <w:rPr>
          <w:rFonts w:cs="Arial"/>
          <w:b/>
        </w:rPr>
        <w:t>E</w:t>
      </w:r>
      <w:r w:rsidR="00C5706F">
        <w:rPr>
          <w:rFonts w:cs="Arial"/>
          <w:b/>
        </w:rPr>
        <w:t>.</w:t>
      </w:r>
      <w:r w:rsidR="00334B0E">
        <w:rPr>
          <w:rFonts w:cs="Arial"/>
          <w:b/>
        </w:rPr>
        <w:t xml:space="preserve"> </w:t>
      </w:r>
      <w:r w:rsidR="00484C63">
        <w:rPr>
          <w:rFonts w:cs="Arial"/>
          <w:b/>
        </w:rPr>
        <w:t>ADDITIONAL CONDITIONS</w:t>
      </w:r>
      <w:r w:rsidR="00484C63">
        <w:rPr>
          <w:rFonts w:cs="Arial"/>
        </w:rPr>
        <w:t xml:space="preserve">, </w:t>
      </w:r>
      <w:r w:rsidR="00DB07DF">
        <w:rPr>
          <w:rFonts w:cs="Arial"/>
          <w:b/>
        </w:rPr>
        <w:t>6</w:t>
      </w:r>
      <w:r w:rsidR="00484C63">
        <w:rPr>
          <w:rFonts w:cs="Arial"/>
          <w:b/>
        </w:rPr>
        <w:t>. Extended Reporting Periods</w:t>
      </w:r>
      <w:r w:rsidR="00484C63">
        <w:rPr>
          <w:rFonts w:cs="Arial"/>
        </w:rPr>
        <w:t xml:space="preserve">, paragraph </w:t>
      </w:r>
      <w:r w:rsidR="00FF16E4" w:rsidRPr="00431CD7">
        <w:rPr>
          <w:rFonts w:cs="Arial"/>
          <w:b/>
        </w:rPr>
        <w:t>b. (</w:t>
      </w:r>
      <w:r w:rsidR="00C5706F" w:rsidRPr="00431CD7">
        <w:rPr>
          <w:rFonts w:cs="Arial"/>
          <w:b/>
        </w:rPr>
        <w:t>2)</w:t>
      </w:r>
      <w:r w:rsidR="00484C63">
        <w:rPr>
          <w:rFonts w:cs="Arial"/>
        </w:rPr>
        <w:t xml:space="preserve"> is deleted and replaced with the following:</w:t>
      </w:r>
    </w:p>
    <w:p w14:paraId="3C48A14C" w14:textId="77777777" w:rsidR="00484C63" w:rsidRDefault="00C5706F" w:rsidP="006E26E8">
      <w:pPr>
        <w:pStyle w:val="Hanging2"/>
        <w:spacing w:line="240" w:lineRule="auto"/>
      </w:pPr>
      <w:r w:rsidRPr="00431CD7">
        <w:rPr>
          <w:b/>
        </w:rPr>
        <w:t>(2)</w:t>
      </w:r>
      <w:r w:rsidR="00484C63">
        <w:tab/>
      </w:r>
      <w:r w:rsidR="00484C63" w:rsidRPr="00854C89">
        <w:t xml:space="preserve">Upon payment </w:t>
      </w:r>
      <w:r w:rsidR="00484C63">
        <w:t xml:space="preserve">of an additional premium of </w:t>
      </w:r>
      <w:r w:rsidR="004B7D12">
        <w:t>1</w:t>
      </w:r>
      <w:r w:rsidR="00484C63">
        <w:t xml:space="preserve">00% of the full annual premium </w:t>
      </w:r>
      <w:r>
        <w:t>associated with the relevant coverage</w:t>
      </w:r>
      <w:r w:rsidR="00484C63">
        <w:t xml:space="preserve">, a Supplemental Extended Reporting Period of </w:t>
      </w:r>
      <w:r w:rsidR="0068139A">
        <w:t>one</w:t>
      </w:r>
      <w:r>
        <w:t xml:space="preserve"> </w:t>
      </w:r>
      <w:r w:rsidR="0068139A">
        <w:t>year</w:t>
      </w:r>
      <w:r w:rsidR="00484C63">
        <w:t xml:space="preserve"> immediately following the effective dat</w:t>
      </w:r>
      <w:r>
        <w:t xml:space="preserve">e of “termination of coverage” </w:t>
      </w:r>
      <w:r w:rsidR="00484C63">
        <w:t xml:space="preserve">during </w:t>
      </w:r>
      <w:r>
        <w:t xml:space="preserve">which you may first receive notice of a “claim” or “regulatory proceeding” arising directly from a “wrongful act” </w:t>
      </w:r>
      <w:r w:rsidR="00484C63">
        <w:t xml:space="preserve">occurring before the end of the </w:t>
      </w:r>
      <w:r>
        <w:t>“policy period”</w:t>
      </w:r>
      <w:r w:rsidR="00484C63">
        <w:t xml:space="preserve"> and which is otherwise covered by this </w:t>
      </w:r>
      <w:r w:rsidR="000A3FDF">
        <w:t xml:space="preserve">Cyber </w:t>
      </w:r>
      <w:r>
        <w:t>C</w:t>
      </w:r>
      <w:r w:rsidR="00484C63">
        <w:t>overage.</w:t>
      </w:r>
    </w:p>
    <w:p w14:paraId="4960B787" w14:textId="77777777" w:rsidR="00484C63" w:rsidRDefault="00484C63" w:rsidP="006E26E8">
      <w:pPr>
        <w:pStyle w:val="Hanging2"/>
        <w:spacing w:line="240" w:lineRule="auto"/>
        <w:ind w:firstLine="0"/>
      </w:pPr>
      <w:r>
        <w:t xml:space="preserve">To obtain the Supplemental Extended Reporting Period, you must request it in writing and pay the additional premium due, within 30 days of the effective date of “termination of coverage”. The additional premium for the Supplemental Extended Reporting Period </w:t>
      </w:r>
      <w:r w:rsidR="00C946EC">
        <w:t>will</w:t>
      </w:r>
      <w:r>
        <w:t xml:space="preserve"> be fully earned at the inception of the Supplemental Extended Reporting Period. If we do not receive the written request as required, you may not exercise this right </w:t>
      </w:r>
      <w:proofErr w:type="gramStart"/>
      <w:r>
        <w:t>at a later date</w:t>
      </w:r>
      <w:proofErr w:type="gramEnd"/>
      <w:r>
        <w:t>.</w:t>
      </w:r>
    </w:p>
    <w:p w14:paraId="1E6D847F" w14:textId="77777777" w:rsidR="00484C63" w:rsidRDefault="00484C63" w:rsidP="006E26E8">
      <w:pPr>
        <w:pStyle w:val="Hanging2"/>
        <w:spacing w:line="240" w:lineRule="auto"/>
      </w:pPr>
      <w:r>
        <w:tab/>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66E37FF0" w14:textId="77777777" w:rsidR="007E3909" w:rsidRDefault="007E3909" w:rsidP="00AF79C7">
      <w:pPr>
        <w:pStyle w:val="Hanging3"/>
        <w:widowControl w:val="0"/>
        <w:suppressAutoHyphens/>
        <w:spacing w:line="240" w:lineRule="auto"/>
        <w:ind w:left="360"/>
        <w:rPr>
          <w:rFonts w:cs="Arial"/>
        </w:rPr>
      </w:pPr>
      <w:r w:rsidRPr="007E3909">
        <w:rPr>
          <w:b/>
        </w:rPr>
        <w:t>4.</w:t>
      </w:r>
      <w:r>
        <w:tab/>
      </w:r>
      <w:r>
        <w:rPr>
          <w:rFonts w:cs="Arial"/>
          <w:b/>
        </w:rPr>
        <w:t>F. DEFINITIONS</w:t>
      </w:r>
      <w:r>
        <w:rPr>
          <w:rFonts w:cs="Arial"/>
        </w:rPr>
        <w:t xml:space="preserve">, </w:t>
      </w:r>
      <w:r w:rsidR="00DB07DF">
        <w:rPr>
          <w:rFonts w:cs="Arial"/>
          <w:b/>
        </w:rPr>
        <w:t>51</w:t>
      </w:r>
      <w:r>
        <w:rPr>
          <w:rFonts w:cs="Arial"/>
          <w:b/>
        </w:rPr>
        <w:t xml:space="preserve">. “Termination of Coverage”, </w:t>
      </w:r>
      <w:r>
        <w:rPr>
          <w:rFonts w:cs="Arial"/>
        </w:rPr>
        <w:t>is deleted and replaced with the following:</w:t>
      </w:r>
    </w:p>
    <w:p w14:paraId="40AFFC32" w14:textId="77777777" w:rsidR="007E3909" w:rsidRPr="001A54B0" w:rsidRDefault="00DB07DF" w:rsidP="00AF79C7">
      <w:pPr>
        <w:spacing w:before="80"/>
        <w:ind w:left="720" w:hanging="360"/>
        <w:rPr>
          <w:rFonts w:cs="Arial"/>
          <w:szCs w:val="24"/>
        </w:rPr>
      </w:pPr>
      <w:r>
        <w:rPr>
          <w:rFonts w:cs="Arial"/>
          <w:b/>
          <w:szCs w:val="24"/>
        </w:rPr>
        <w:t>51</w:t>
      </w:r>
      <w:r w:rsidR="007E3909" w:rsidRPr="007E3909">
        <w:rPr>
          <w:rFonts w:cs="Arial"/>
          <w:b/>
          <w:szCs w:val="24"/>
        </w:rPr>
        <w:t>.</w:t>
      </w:r>
      <w:r w:rsidR="007E3909" w:rsidRPr="001A54B0">
        <w:rPr>
          <w:rFonts w:cs="Arial"/>
          <w:szCs w:val="24"/>
        </w:rPr>
        <w:tab/>
      </w:r>
      <w:r w:rsidR="007E3909" w:rsidRPr="00D9219B">
        <w:rPr>
          <w:rFonts w:cs="Arial"/>
          <w:b/>
          <w:bCs/>
          <w:szCs w:val="24"/>
        </w:rPr>
        <w:t>“Termination of Coverage”</w:t>
      </w:r>
      <w:r w:rsidR="007E3909" w:rsidRPr="001A54B0">
        <w:rPr>
          <w:rFonts w:cs="Arial"/>
          <w:szCs w:val="24"/>
        </w:rPr>
        <w:t xml:space="preserve"> means:</w:t>
      </w:r>
    </w:p>
    <w:p w14:paraId="3A6AD41E" w14:textId="77777777" w:rsidR="007E3909" w:rsidRPr="001A54B0" w:rsidRDefault="007E3909" w:rsidP="007E3909">
      <w:pPr>
        <w:pStyle w:val="ListParagraph"/>
        <w:numPr>
          <w:ilvl w:val="0"/>
          <w:numId w:val="2"/>
        </w:numPr>
        <w:overflowPunct/>
        <w:autoSpaceDE/>
        <w:autoSpaceDN/>
        <w:adjustRightInd/>
        <w:ind w:left="1080"/>
        <w:contextualSpacing w:val="0"/>
        <w:jc w:val="left"/>
        <w:textAlignment w:val="auto"/>
        <w:rPr>
          <w:rFonts w:cs="Arial"/>
          <w:szCs w:val="24"/>
        </w:rPr>
      </w:pPr>
      <w:r w:rsidRPr="001A54B0">
        <w:rPr>
          <w:rFonts w:cs="Arial"/>
          <w:szCs w:val="24"/>
        </w:rPr>
        <w:t>The termination of the policy; or</w:t>
      </w:r>
    </w:p>
    <w:p w14:paraId="2F586774" w14:textId="77777777" w:rsidR="007E3909" w:rsidRDefault="007E3909" w:rsidP="007E3909">
      <w:pPr>
        <w:pStyle w:val="Hanging2"/>
        <w:tabs>
          <w:tab w:val="left" w:pos="1080"/>
        </w:tabs>
        <w:spacing w:before="0" w:line="240" w:lineRule="auto"/>
        <w:ind w:firstLine="0"/>
        <w:rPr>
          <w:rFonts w:cs="Arial"/>
        </w:rPr>
      </w:pPr>
      <w:r w:rsidRPr="007E3909">
        <w:rPr>
          <w:rFonts w:cs="Arial"/>
          <w:b/>
        </w:rPr>
        <w:t>b.</w:t>
      </w:r>
      <w:r>
        <w:rPr>
          <w:rFonts w:cs="Arial"/>
        </w:rPr>
        <w:tab/>
      </w:r>
      <w:r w:rsidRPr="003805DD">
        <w:rPr>
          <w:rFonts w:cs="Arial"/>
        </w:rPr>
        <w:t>The removal of this coverage endorsement.</w:t>
      </w:r>
    </w:p>
    <w:p w14:paraId="4E8ECE94" w14:textId="77777777" w:rsidR="00FF16E4" w:rsidRDefault="00FF16E4" w:rsidP="007E3909">
      <w:pPr>
        <w:pStyle w:val="Hanging2"/>
        <w:tabs>
          <w:tab w:val="left" w:pos="1080"/>
        </w:tabs>
        <w:spacing w:before="0" w:line="240" w:lineRule="auto"/>
        <w:ind w:firstLine="0"/>
      </w:pPr>
    </w:p>
    <w:p w14:paraId="04F17797" w14:textId="72B4C941" w:rsidR="00FF16E4" w:rsidRDefault="00FF16E4" w:rsidP="00FF16E4">
      <w:pPr>
        <w:overflowPunct/>
        <w:autoSpaceDE/>
        <w:autoSpaceDN/>
        <w:adjustRightInd/>
        <w:jc w:val="left"/>
        <w:textAlignment w:val="auto"/>
        <w:rPr>
          <w:rFonts w:cs="Arial"/>
        </w:rPr>
      </w:pPr>
      <w:r w:rsidRPr="00A70454">
        <w:rPr>
          <w:rFonts w:cs="Arial"/>
        </w:rPr>
        <w:t xml:space="preserve">All other terms and conditions of the policy remain the </w:t>
      </w:r>
      <w:r>
        <w:rPr>
          <w:rFonts w:cs="Arial"/>
        </w:rPr>
        <w:t>unchanged</w:t>
      </w:r>
      <w:r w:rsidRPr="00A70454">
        <w:rPr>
          <w:rFonts w:cs="Arial"/>
        </w:rPr>
        <w:t>.</w:t>
      </w:r>
    </w:p>
    <w:p w14:paraId="2343CD26" w14:textId="77777777" w:rsidR="0061527F" w:rsidRDefault="0061527F" w:rsidP="00FF16E4">
      <w:pPr>
        <w:overflowPunct/>
        <w:autoSpaceDE/>
        <w:autoSpaceDN/>
        <w:adjustRightInd/>
        <w:jc w:val="left"/>
        <w:textAlignment w:val="auto"/>
        <w:rPr>
          <w:rFonts w:cs="Arial"/>
        </w:rPr>
      </w:pPr>
    </w:p>
    <w:p w14:paraId="5E19D929" w14:textId="77777777" w:rsidR="0061527F" w:rsidRPr="00A70454" w:rsidRDefault="0061527F" w:rsidP="00FF16E4">
      <w:pPr>
        <w:overflowPunct/>
        <w:autoSpaceDE/>
        <w:autoSpaceDN/>
        <w:adjustRightInd/>
        <w:jc w:val="left"/>
        <w:textAlignment w:val="auto"/>
        <w:rPr>
          <w:rFonts w:cs="Arial"/>
        </w:rPr>
      </w:pPr>
    </w:p>
    <w:p w14:paraId="2F5F5F71" w14:textId="7344A0E1" w:rsidR="00FF16E4" w:rsidRPr="00484C63" w:rsidRDefault="00FF16E4" w:rsidP="0061527F">
      <w:pPr>
        <w:tabs>
          <w:tab w:val="left" w:pos="5040"/>
        </w:tabs>
        <w:overflowPunct/>
        <w:autoSpaceDE/>
        <w:autoSpaceDN/>
        <w:adjustRightInd/>
        <w:ind w:left="5040"/>
        <w:jc w:val="left"/>
        <w:textAlignment w:val="auto"/>
      </w:pPr>
      <w:r w:rsidRPr="00A70454">
        <w:rPr>
          <w:rFonts w:cs="Arial"/>
        </w:rPr>
        <w:t>__________________________</w:t>
      </w:r>
      <w:r w:rsidR="0061527F">
        <w:rPr>
          <w:rFonts w:cs="Arial"/>
        </w:rPr>
        <w:t xml:space="preserve">                                   A</w:t>
      </w:r>
      <w:r w:rsidRPr="00A70454">
        <w:rPr>
          <w:rFonts w:cs="Arial"/>
        </w:rPr>
        <w:t>uthorized Representative</w:t>
      </w:r>
    </w:p>
    <w:sectPr w:rsidR="00FF16E4" w:rsidRPr="00484C63" w:rsidSect="00007DFF">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28049" w14:textId="77777777" w:rsidR="00CC4485" w:rsidRDefault="00CC4485" w:rsidP="003C55D3">
      <w:r>
        <w:separator/>
      </w:r>
    </w:p>
  </w:endnote>
  <w:endnote w:type="continuationSeparator" w:id="0">
    <w:p w14:paraId="36C05DC4"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4C8AB8B" w14:textId="77777777">
      <w:tc>
        <w:tcPr>
          <w:tcW w:w="2201" w:type="dxa"/>
          <w:tcBorders>
            <w:top w:val="nil"/>
            <w:left w:val="nil"/>
            <w:bottom w:val="nil"/>
            <w:right w:val="nil"/>
          </w:tcBorders>
        </w:tcPr>
        <w:p w14:paraId="5058B05C"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5263FF">
            <w:rPr>
              <w:noProof/>
              <w:sz w:val="18"/>
            </w:rPr>
            <w:fldChar w:fldCharType="begin"/>
          </w:r>
          <w:r w:rsidR="005263FF">
            <w:rPr>
              <w:noProof/>
              <w:sz w:val="18"/>
            </w:rPr>
            <w:instrText xml:space="preserve"> NUMPAGES  \* MERGEFORMAT </w:instrText>
          </w:r>
          <w:r w:rsidR="005263FF">
            <w:rPr>
              <w:noProof/>
              <w:sz w:val="18"/>
            </w:rPr>
            <w:fldChar w:fldCharType="separate"/>
          </w:r>
          <w:r w:rsidR="00280954" w:rsidRPr="00280954">
            <w:rPr>
              <w:noProof/>
              <w:sz w:val="18"/>
            </w:rPr>
            <w:t>1</w:t>
          </w:r>
          <w:r w:rsidR="005263FF">
            <w:rPr>
              <w:noProof/>
              <w:sz w:val="18"/>
            </w:rPr>
            <w:fldChar w:fldCharType="end"/>
          </w:r>
        </w:p>
      </w:tc>
      <w:tc>
        <w:tcPr>
          <w:tcW w:w="5911" w:type="dxa"/>
          <w:tcBorders>
            <w:top w:val="nil"/>
            <w:left w:val="nil"/>
            <w:bottom w:val="nil"/>
            <w:right w:val="nil"/>
          </w:tcBorders>
        </w:tcPr>
        <w:p w14:paraId="75729043" w14:textId="77777777" w:rsidR="00CC4485" w:rsidRDefault="00CC4485">
          <w:pPr>
            <w:pStyle w:val="isof1"/>
            <w:jc w:val="center"/>
            <w:rPr>
              <w:sz w:val="18"/>
            </w:rPr>
          </w:pPr>
        </w:p>
      </w:tc>
      <w:tc>
        <w:tcPr>
          <w:tcW w:w="2088" w:type="dxa"/>
          <w:tcBorders>
            <w:top w:val="nil"/>
            <w:left w:val="nil"/>
            <w:bottom w:val="nil"/>
            <w:right w:val="nil"/>
          </w:tcBorders>
        </w:tcPr>
        <w:p w14:paraId="4715482F" w14:textId="77777777" w:rsidR="00CC4485" w:rsidRDefault="00CC4485">
          <w:pPr>
            <w:pStyle w:val="isof2"/>
            <w:jc w:val="right"/>
            <w:rPr>
              <w:sz w:val="18"/>
            </w:rPr>
          </w:pPr>
        </w:p>
      </w:tc>
      <w:tc>
        <w:tcPr>
          <w:tcW w:w="600" w:type="dxa"/>
          <w:tcBorders>
            <w:top w:val="nil"/>
            <w:left w:val="nil"/>
            <w:bottom w:val="nil"/>
            <w:right w:val="nil"/>
          </w:tcBorders>
        </w:tcPr>
        <w:p w14:paraId="167F1801" w14:textId="77777777" w:rsidR="00CC4485" w:rsidRDefault="00CC4485">
          <w:pPr>
            <w:jc w:val="right"/>
            <w:rPr>
              <w:sz w:val="18"/>
            </w:rPr>
          </w:pPr>
        </w:p>
      </w:tc>
    </w:tr>
  </w:tbl>
  <w:p w14:paraId="4169AA6B"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C73019A" w14:textId="77777777">
      <w:tc>
        <w:tcPr>
          <w:tcW w:w="2201" w:type="dxa"/>
          <w:tcBorders>
            <w:top w:val="nil"/>
            <w:left w:val="nil"/>
            <w:bottom w:val="nil"/>
            <w:right w:val="nil"/>
          </w:tcBorders>
        </w:tcPr>
        <w:p w14:paraId="737C8258" w14:textId="77777777" w:rsidR="00CC4485" w:rsidRDefault="00CC4485">
          <w:pPr>
            <w:pStyle w:val="isof2"/>
            <w:jc w:val="left"/>
            <w:rPr>
              <w:sz w:val="18"/>
            </w:rPr>
          </w:pPr>
        </w:p>
      </w:tc>
      <w:tc>
        <w:tcPr>
          <w:tcW w:w="5911" w:type="dxa"/>
          <w:tcBorders>
            <w:top w:val="nil"/>
            <w:left w:val="nil"/>
            <w:bottom w:val="nil"/>
            <w:right w:val="nil"/>
          </w:tcBorders>
        </w:tcPr>
        <w:p w14:paraId="0AA16FCB" w14:textId="77777777" w:rsidR="00CC4485" w:rsidRDefault="00CC4485">
          <w:pPr>
            <w:pStyle w:val="isof1"/>
            <w:jc w:val="center"/>
            <w:rPr>
              <w:sz w:val="18"/>
            </w:rPr>
          </w:pPr>
        </w:p>
      </w:tc>
      <w:tc>
        <w:tcPr>
          <w:tcW w:w="2088" w:type="dxa"/>
          <w:tcBorders>
            <w:top w:val="nil"/>
            <w:left w:val="nil"/>
            <w:bottom w:val="nil"/>
            <w:right w:val="nil"/>
          </w:tcBorders>
        </w:tcPr>
        <w:p w14:paraId="6E4A821B"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5263FF">
            <w:rPr>
              <w:noProof/>
              <w:sz w:val="18"/>
            </w:rPr>
            <w:fldChar w:fldCharType="begin"/>
          </w:r>
          <w:r w:rsidR="005263FF">
            <w:rPr>
              <w:noProof/>
              <w:sz w:val="18"/>
            </w:rPr>
            <w:instrText xml:space="preserve"> NUMPAGES  \* MERGEFORMAT </w:instrText>
          </w:r>
          <w:r w:rsidR="005263FF">
            <w:rPr>
              <w:noProof/>
              <w:sz w:val="18"/>
            </w:rPr>
            <w:fldChar w:fldCharType="separate"/>
          </w:r>
          <w:r w:rsidR="00280954" w:rsidRPr="00280954">
            <w:rPr>
              <w:noProof/>
              <w:sz w:val="18"/>
            </w:rPr>
            <w:t>1</w:t>
          </w:r>
          <w:r w:rsidR="005263FF">
            <w:rPr>
              <w:noProof/>
              <w:sz w:val="18"/>
            </w:rPr>
            <w:fldChar w:fldCharType="end"/>
          </w:r>
        </w:p>
      </w:tc>
      <w:tc>
        <w:tcPr>
          <w:tcW w:w="600" w:type="dxa"/>
          <w:tcBorders>
            <w:top w:val="nil"/>
            <w:left w:val="nil"/>
            <w:bottom w:val="nil"/>
            <w:right w:val="nil"/>
          </w:tcBorders>
        </w:tcPr>
        <w:p w14:paraId="3B6E2AF6" w14:textId="77777777" w:rsidR="00CC4485" w:rsidRDefault="00CC4485">
          <w:pPr>
            <w:jc w:val="right"/>
            <w:rPr>
              <w:sz w:val="18"/>
            </w:rPr>
          </w:pPr>
        </w:p>
      </w:tc>
    </w:tr>
  </w:tbl>
  <w:p w14:paraId="33112971"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007DFF" w14:paraId="2069F0CE" w14:textId="77777777" w:rsidTr="005E588A">
      <w:tc>
        <w:tcPr>
          <w:tcW w:w="2201" w:type="dxa"/>
          <w:tcBorders>
            <w:top w:val="nil"/>
            <w:left w:val="nil"/>
            <w:bottom w:val="nil"/>
            <w:right w:val="nil"/>
          </w:tcBorders>
        </w:tcPr>
        <w:p w14:paraId="5692DC97" w14:textId="77777777" w:rsidR="00007DFF" w:rsidRPr="0047137C" w:rsidRDefault="00007DFF" w:rsidP="00007DFF">
          <w:pPr>
            <w:jc w:val="left"/>
            <w:rPr>
              <w:sz w:val="16"/>
              <w:szCs w:val="16"/>
            </w:rPr>
          </w:pPr>
        </w:p>
      </w:tc>
      <w:tc>
        <w:tcPr>
          <w:tcW w:w="5911" w:type="dxa"/>
          <w:tcBorders>
            <w:top w:val="nil"/>
            <w:left w:val="nil"/>
            <w:bottom w:val="nil"/>
            <w:right w:val="nil"/>
          </w:tcBorders>
        </w:tcPr>
        <w:p w14:paraId="5B257FB8" w14:textId="77777777" w:rsidR="00007DFF" w:rsidRDefault="00007DFF" w:rsidP="00007DFF">
          <w:pPr>
            <w:pStyle w:val="isof1"/>
            <w:jc w:val="center"/>
            <w:rPr>
              <w:sz w:val="18"/>
            </w:rPr>
          </w:pPr>
        </w:p>
      </w:tc>
      <w:tc>
        <w:tcPr>
          <w:tcW w:w="2088" w:type="dxa"/>
          <w:tcBorders>
            <w:top w:val="nil"/>
            <w:left w:val="nil"/>
            <w:bottom w:val="nil"/>
            <w:right w:val="nil"/>
          </w:tcBorders>
        </w:tcPr>
        <w:p w14:paraId="48A1A124" w14:textId="77777777" w:rsidR="00007DFF" w:rsidRPr="008674AD" w:rsidRDefault="00007DFF" w:rsidP="00007DFF">
          <w:pPr>
            <w:pStyle w:val="isof2"/>
            <w:jc w:val="right"/>
            <w:rPr>
              <w:b w:val="0"/>
              <w:sz w:val="18"/>
            </w:rPr>
          </w:pPr>
        </w:p>
      </w:tc>
      <w:tc>
        <w:tcPr>
          <w:tcW w:w="600" w:type="dxa"/>
          <w:tcBorders>
            <w:top w:val="nil"/>
            <w:left w:val="nil"/>
            <w:bottom w:val="nil"/>
            <w:right w:val="nil"/>
          </w:tcBorders>
        </w:tcPr>
        <w:p w14:paraId="7BAFC01C" w14:textId="77777777" w:rsidR="00007DFF" w:rsidRDefault="00007DFF" w:rsidP="00007DFF">
          <w:pPr>
            <w:jc w:val="right"/>
            <w:rPr>
              <w:sz w:val="18"/>
            </w:rPr>
          </w:pPr>
        </w:p>
      </w:tc>
    </w:tr>
  </w:tbl>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1B47C16A" w14:textId="77777777" w:rsidR="003E3106" w:rsidRDefault="003E3106" w:rsidP="003E3106">
            <w:pPr>
              <w:widowControl w:val="0"/>
              <w:tabs>
                <w:tab w:val="center" w:pos="4680"/>
                <w:tab w:val="right" w:pos="10080"/>
              </w:tabs>
              <w:overflowPunct/>
              <w:autoSpaceDE/>
              <w:adjustRightInd/>
              <w:ind w:right="-450"/>
              <w:jc w:val="left"/>
              <w:rPr>
                <w:rFonts w:eastAsiaTheme="minorHAnsi" w:cs="Arial"/>
                <w:sz w:val="18"/>
                <w:szCs w:val="18"/>
              </w:rPr>
            </w:pPr>
          </w:p>
          <w:p w14:paraId="2AD3CA4A" w14:textId="66EE6604" w:rsidR="003E3106" w:rsidRDefault="00FF16E4" w:rsidP="003E3106">
            <w:pPr>
              <w:widowControl w:val="0"/>
              <w:tabs>
                <w:tab w:val="center" w:pos="4680"/>
                <w:tab w:val="right" w:pos="10080"/>
              </w:tabs>
              <w:overflowPunct/>
              <w:autoSpaceDE/>
              <w:adjustRightInd/>
              <w:ind w:right="-450"/>
              <w:jc w:val="left"/>
              <w:rPr>
                <w:rFonts w:eastAsiaTheme="minorHAnsi" w:cs="Arial"/>
                <w:b/>
                <w:sz w:val="18"/>
                <w:szCs w:val="18"/>
              </w:rPr>
            </w:pPr>
            <w:r w:rsidRPr="00FF16E4">
              <w:rPr>
                <w:rFonts w:eastAsiaTheme="minorHAnsi" w:cs="Arial"/>
                <w:sz w:val="18"/>
                <w:szCs w:val="18"/>
              </w:rPr>
              <w:t>152351</w:t>
            </w:r>
            <w:r>
              <w:rPr>
                <w:rFonts w:eastAsiaTheme="minorHAnsi" w:cs="Arial"/>
                <w:sz w:val="18"/>
                <w:szCs w:val="18"/>
              </w:rPr>
              <w:t xml:space="preserve"> (01/26) </w:t>
            </w:r>
            <w:r w:rsidR="003E3106">
              <w:rPr>
                <w:rFonts w:eastAsiaTheme="minorHAnsi" w:cs="Arial"/>
                <w:sz w:val="18"/>
                <w:szCs w:val="18"/>
              </w:rPr>
              <w:tab/>
              <w:t>© 20</w:t>
            </w:r>
            <w:r w:rsidR="00DB07DF">
              <w:rPr>
                <w:rFonts w:eastAsiaTheme="minorHAnsi" w:cs="Arial"/>
                <w:sz w:val="18"/>
                <w:szCs w:val="18"/>
              </w:rPr>
              <w:t>20</w:t>
            </w:r>
            <w:r w:rsidR="003E3106">
              <w:rPr>
                <w:rFonts w:eastAsiaTheme="minorHAnsi" w:cs="Arial"/>
                <w:sz w:val="18"/>
                <w:szCs w:val="18"/>
              </w:rPr>
              <w:t>, The Hartford Steam Boiler Inspection and Insurance Company.  All rights reserved.</w:t>
            </w:r>
            <w:r w:rsidR="003E3106">
              <w:rPr>
                <w:rFonts w:eastAsiaTheme="minorHAnsi" w:cs="Arial"/>
                <w:sz w:val="18"/>
                <w:szCs w:val="18"/>
              </w:rPr>
              <w:tab/>
              <w:t xml:space="preserve">Page </w:t>
            </w:r>
            <w:r w:rsidR="003E3106">
              <w:rPr>
                <w:rFonts w:eastAsiaTheme="minorHAnsi" w:cs="Arial"/>
                <w:b/>
                <w:sz w:val="18"/>
                <w:szCs w:val="18"/>
              </w:rPr>
              <w:fldChar w:fldCharType="begin"/>
            </w:r>
            <w:r w:rsidR="003E3106">
              <w:rPr>
                <w:rFonts w:eastAsiaTheme="minorHAnsi" w:cs="Arial"/>
                <w:b/>
                <w:sz w:val="18"/>
                <w:szCs w:val="18"/>
              </w:rPr>
              <w:instrText xml:space="preserve"> PAGE </w:instrText>
            </w:r>
            <w:r w:rsidR="003E3106">
              <w:rPr>
                <w:rFonts w:eastAsiaTheme="minorHAnsi" w:cs="Arial"/>
                <w:b/>
                <w:sz w:val="18"/>
                <w:szCs w:val="18"/>
              </w:rPr>
              <w:fldChar w:fldCharType="separate"/>
            </w:r>
            <w:r w:rsidR="004B7D12">
              <w:rPr>
                <w:rFonts w:eastAsiaTheme="minorHAnsi" w:cs="Arial"/>
                <w:b/>
                <w:noProof/>
                <w:sz w:val="18"/>
                <w:szCs w:val="18"/>
              </w:rPr>
              <w:t>1</w:t>
            </w:r>
            <w:r w:rsidR="003E3106">
              <w:rPr>
                <w:rFonts w:eastAsiaTheme="minorHAnsi" w:cs="Arial"/>
                <w:b/>
                <w:sz w:val="18"/>
                <w:szCs w:val="18"/>
              </w:rPr>
              <w:fldChar w:fldCharType="end"/>
            </w:r>
            <w:r w:rsidR="003E3106">
              <w:rPr>
                <w:rFonts w:eastAsiaTheme="minorHAnsi" w:cs="Arial"/>
                <w:sz w:val="18"/>
                <w:szCs w:val="18"/>
              </w:rPr>
              <w:t xml:space="preserve"> of </w:t>
            </w:r>
            <w:r w:rsidR="003E3106">
              <w:rPr>
                <w:rFonts w:eastAsiaTheme="minorHAnsi" w:cs="Arial"/>
                <w:b/>
                <w:sz w:val="18"/>
                <w:szCs w:val="18"/>
              </w:rPr>
              <w:fldChar w:fldCharType="begin"/>
            </w:r>
            <w:r w:rsidR="003E3106">
              <w:rPr>
                <w:rFonts w:eastAsiaTheme="minorHAnsi" w:cs="Arial"/>
                <w:b/>
                <w:sz w:val="18"/>
                <w:szCs w:val="18"/>
              </w:rPr>
              <w:instrText xml:space="preserve"> NUMPAGES  </w:instrText>
            </w:r>
            <w:r w:rsidR="003E3106">
              <w:rPr>
                <w:rFonts w:eastAsiaTheme="minorHAnsi" w:cs="Arial"/>
                <w:b/>
                <w:sz w:val="18"/>
                <w:szCs w:val="18"/>
              </w:rPr>
              <w:fldChar w:fldCharType="separate"/>
            </w:r>
            <w:r w:rsidR="004B7D12">
              <w:rPr>
                <w:rFonts w:eastAsiaTheme="minorHAnsi" w:cs="Arial"/>
                <w:b/>
                <w:noProof/>
                <w:sz w:val="18"/>
                <w:szCs w:val="18"/>
              </w:rPr>
              <w:t>1</w:t>
            </w:r>
            <w:r w:rsidR="003E3106">
              <w:rPr>
                <w:rFonts w:eastAsiaTheme="minorHAnsi" w:cs="Arial"/>
                <w:b/>
                <w:sz w:val="18"/>
                <w:szCs w:val="18"/>
              </w:rPr>
              <w:fldChar w:fldCharType="end"/>
            </w:r>
          </w:p>
          <w:p w14:paraId="1A043700" w14:textId="77777777" w:rsidR="00CC4485" w:rsidRPr="007E36D3" w:rsidRDefault="003E3106" w:rsidP="003E3106">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A33D3FB" w14:textId="77777777">
      <w:tc>
        <w:tcPr>
          <w:tcW w:w="2201" w:type="dxa"/>
          <w:tcBorders>
            <w:top w:val="nil"/>
            <w:left w:val="nil"/>
            <w:bottom w:val="nil"/>
            <w:right w:val="nil"/>
          </w:tcBorders>
        </w:tcPr>
        <w:p w14:paraId="7E25C1D5"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098A12C6"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10FEFC4A"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5263FF">
            <w:rPr>
              <w:noProof/>
              <w:sz w:val="18"/>
            </w:rPr>
            <w:fldChar w:fldCharType="begin"/>
          </w:r>
          <w:r w:rsidR="005263FF">
            <w:rPr>
              <w:noProof/>
              <w:sz w:val="18"/>
            </w:rPr>
            <w:instrText xml:space="preserve"> NUMPAGES  \* MERGEFORMAT </w:instrText>
          </w:r>
          <w:r w:rsidR="005263FF">
            <w:rPr>
              <w:noProof/>
              <w:sz w:val="18"/>
            </w:rPr>
            <w:fldChar w:fldCharType="separate"/>
          </w:r>
          <w:r w:rsidR="00280954" w:rsidRPr="00280954">
            <w:rPr>
              <w:noProof/>
              <w:sz w:val="18"/>
            </w:rPr>
            <w:t>1</w:t>
          </w:r>
          <w:r w:rsidR="005263FF">
            <w:rPr>
              <w:noProof/>
              <w:sz w:val="18"/>
            </w:rPr>
            <w:fldChar w:fldCharType="end"/>
          </w:r>
        </w:p>
      </w:tc>
      <w:tc>
        <w:tcPr>
          <w:tcW w:w="600" w:type="dxa"/>
          <w:tcBorders>
            <w:top w:val="nil"/>
            <w:left w:val="nil"/>
            <w:bottom w:val="nil"/>
            <w:right w:val="nil"/>
          </w:tcBorders>
        </w:tcPr>
        <w:p w14:paraId="21216BDD" w14:textId="77777777" w:rsidR="00CC4485" w:rsidRDefault="00CC4485">
          <w:pPr>
            <w:jc w:val="right"/>
            <w:rPr>
              <w:sz w:val="18"/>
            </w:rPr>
          </w:pPr>
        </w:p>
      </w:tc>
    </w:tr>
  </w:tbl>
  <w:p w14:paraId="5157FDBA"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C46B6" w14:textId="77777777" w:rsidR="00CC4485" w:rsidRDefault="00007DFF" w:rsidP="00ED2680">
    <w:pPr>
      <w:pStyle w:val="Footer"/>
      <w:rPr>
        <w:sz w:val="18"/>
      </w:rPr>
    </w:pPr>
    <w:r>
      <w:rPr>
        <w:sz w:val="18"/>
      </w:rPr>
      <w:t>TBD</w:t>
    </w:r>
    <w:r>
      <w:rPr>
        <w:sz w:val="18"/>
      </w:rPr>
      <w:tab/>
      <w:t>Includes copyrighted materials of Insurance Services Office, Inc., with its permission</w:t>
    </w:r>
    <w:r>
      <w:rPr>
        <w:sz w:val="18"/>
      </w:rPr>
      <w:tab/>
    </w:r>
    <w:r>
      <w:rPr>
        <w:sz w:val="18"/>
      </w:rPr>
      <w:tab/>
      <w:t>2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4974FC8" w14:textId="77777777">
      <w:tc>
        <w:tcPr>
          <w:tcW w:w="2201" w:type="dxa"/>
          <w:tcBorders>
            <w:top w:val="nil"/>
            <w:left w:val="nil"/>
            <w:bottom w:val="nil"/>
            <w:right w:val="nil"/>
          </w:tcBorders>
        </w:tcPr>
        <w:p w14:paraId="02FD140F" w14:textId="77777777" w:rsidR="00CC4485" w:rsidRDefault="00CC4485">
          <w:pPr>
            <w:pStyle w:val="isof2"/>
            <w:jc w:val="left"/>
            <w:rPr>
              <w:sz w:val="18"/>
            </w:rPr>
          </w:pPr>
        </w:p>
      </w:tc>
      <w:tc>
        <w:tcPr>
          <w:tcW w:w="5911" w:type="dxa"/>
          <w:tcBorders>
            <w:top w:val="nil"/>
            <w:left w:val="nil"/>
            <w:bottom w:val="nil"/>
            <w:right w:val="nil"/>
          </w:tcBorders>
        </w:tcPr>
        <w:p w14:paraId="41F74337" w14:textId="77777777" w:rsidR="00CC4485" w:rsidRDefault="00CC4485">
          <w:pPr>
            <w:pStyle w:val="isof1"/>
            <w:jc w:val="center"/>
            <w:rPr>
              <w:sz w:val="18"/>
            </w:rPr>
          </w:pPr>
        </w:p>
      </w:tc>
      <w:tc>
        <w:tcPr>
          <w:tcW w:w="2088" w:type="dxa"/>
          <w:tcBorders>
            <w:top w:val="nil"/>
            <w:left w:val="nil"/>
            <w:bottom w:val="nil"/>
            <w:right w:val="nil"/>
          </w:tcBorders>
        </w:tcPr>
        <w:p w14:paraId="45DA5E90"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5263FF">
            <w:rPr>
              <w:noProof/>
              <w:sz w:val="18"/>
            </w:rPr>
            <w:fldChar w:fldCharType="begin"/>
          </w:r>
          <w:r w:rsidR="005263FF">
            <w:rPr>
              <w:noProof/>
              <w:sz w:val="18"/>
            </w:rPr>
            <w:instrText xml:space="preserve"> NUMPAGES  \* MERGEFORMAT </w:instrText>
          </w:r>
          <w:r w:rsidR="005263FF">
            <w:rPr>
              <w:noProof/>
              <w:sz w:val="18"/>
            </w:rPr>
            <w:fldChar w:fldCharType="separate"/>
          </w:r>
          <w:r w:rsidR="00280954" w:rsidRPr="00280954">
            <w:rPr>
              <w:noProof/>
              <w:sz w:val="18"/>
            </w:rPr>
            <w:t>1</w:t>
          </w:r>
          <w:r w:rsidR="005263FF">
            <w:rPr>
              <w:noProof/>
              <w:sz w:val="18"/>
            </w:rPr>
            <w:fldChar w:fldCharType="end"/>
          </w:r>
        </w:p>
      </w:tc>
      <w:tc>
        <w:tcPr>
          <w:tcW w:w="600" w:type="dxa"/>
          <w:tcBorders>
            <w:top w:val="nil"/>
            <w:left w:val="nil"/>
            <w:bottom w:val="nil"/>
            <w:right w:val="nil"/>
          </w:tcBorders>
        </w:tcPr>
        <w:p w14:paraId="656A9307" w14:textId="77777777" w:rsidR="00CC4485" w:rsidRDefault="00CC4485">
          <w:pPr>
            <w:jc w:val="right"/>
            <w:rPr>
              <w:sz w:val="18"/>
            </w:rPr>
          </w:pPr>
        </w:p>
      </w:tc>
    </w:tr>
  </w:tbl>
  <w:p w14:paraId="7BDC7622"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9DD6" w14:textId="77777777" w:rsidR="00CC4485" w:rsidRDefault="00CC4485" w:rsidP="003C55D3">
      <w:r>
        <w:separator/>
      </w:r>
    </w:p>
  </w:footnote>
  <w:footnote w:type="continuationSeparator" w:id="0">
    <w:p w14:paraId="3A050CA2"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9383" w14:textId="77777777" w:rsidR="00CC4485" w:rsidRDefault="00CC4485">
    <w:pPr>
      <w:pStyle w:val="Header"/>
    </w:pPr>
    <w:r>
      <w:t>DRAFT – FOR DISCUSSION PURPOSES ONLY</w:t>
    </w:r>
  </w:p>
  <w:p w14:paraId="6EB0D6F6"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420C" w14:textId="77777777" w:rsidR="00CC4485" w:rsidRDefault="00CC4485" w:rsidP="00D23A6E">
    <w:pPr>
      <w:pStyle w:val="Header"/>
    </w:pPr>
    <w:r>
      <w:t>DRAFT – FOR DISCUSSION PURPOSES ONLY</w:t>
    </w:r>
  </w:p>
  <w:p w14:paraId="0098889A"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091B"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EBB3" w14:textId="77777777" w:rsidR="003E2878" w:rsidRPr="00785F6C" w:rsidRDefault="00261102" w:rsidP="003E2878">
    <w:pPr>
      <w:pStyle w:val="title18"/>
      <w:pBdr>
        <w:bottom w:val="single" w:sz="4" w:space="1" w:color="auto"/>
      </w:pBdr>
      <w:suppressAutoHyphens/>
      <w:spacing w:line="240" w:lineRule="auto"/>
      <w:jc w:val="left"/>
      <w:rPr>
        <w:sz w:val="32"/>
        <w:szCs w:val="32"/>
      </w:rPr>
    </w:pPr>
    <w:r>
      <w:rPr>
        <w:sz w:val="32"/>
        <w:szCs w:val="32"/>
      </w:rPr>
      <w:t>m</w:t>
    </w:r>
    <w:r>
      <w:rPr>
        <w:caps w:val="0"/>
        <w:sz w:val="32"/>
        <w:szCs w:val="32"/>
      </w:rPr>
      <w:t>aine</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26F71037"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6BE583E2" w14:textId="77777777">
      <w:tc>
        <w:tcPr>
          <w:tcW w:w="5040" w:type="dxa"/>
          <w:tcBorders>
            <w:top w:val="nil"/>
            <w:left w:val="nil"/>
            <w:bottom w:val="nil"/>
            <w:right w:val="nil"/>
          </w:tcBorders>
        </w:tcPr>
        <w:p w14:paraId="284EA390" w14:textId="77777777" w:rsidR="00CC4485" w:rsidRDefault="00CC4485">
          <w:pPr>
            <w:pStyle w:val="Header"/>
            <w:rPr>
              <w:sz w:val="18"/>
            </w:rPr>
          </w:pPr>
        </w:p>
      </w:tc>
    </w:tr>
  </w:tbl>
  <w:p w14:paraId="5F015442" w14:textId="77777777" w:rsidR="00CC4485" w:rsidRDefault="00CC4485">
    <w:pPr>
      <w:pStyle w:val="Header"/>
      <w:rPr>
        <w:sz w:val="18"/>
      </w:rPr>
    </w:pPr>
  </w:p>
  <w:p w14:paraId="510A5C31" w14:textId="77777777" w:rsidR="00CC4485" w:rsidRDefault="00CC4485">
    <w:pPr>
      <w:pStyle w:val="isof3"/>
      <w:rPr>
        <w:sz w:val="22"/>
      </w:rPr>
    </w:pPr>
    <w:r>
      <w:rPr>
        <w:sz w:val="22"/>
      </w:rPr>
      <w:t>THIS ENDORSEMENT CHANGES THE POLICY.  PLEASE READ INFORMATION TECHNOLOGY CAREFULLY.</w:t>
    </w:r>
  </w:p>
  <w:p w14:paraId="157F9314"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 w15:restartNumberingAfterBreak="0">
    <w:nsid w:val="4F6E65F8"/>
    <w:multiLevelType w:val="hybridMultilevel"/>
    <w:tmpl w:val="A12EF386"/>
    <w:lvl w:ilvl="0" w:tplc="0644BDB8">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2014630">
    <w:abstractNumId w:val="0"/>
  </w:num>
  <w:num w:numId="2" w16cid:durableId="473450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96DF1"/>
    <w:rsid w:val="000A3FDF"/>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26FAF"/>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FF6"/>
    <w:rsid w:val="00195D1F"/>
    <w:rsid w:val="001975CC"/>
    <w:rsid w:val="001A1498"/>
    <w:rsid w:val="001A73FD"/>
    <w:rsid w:val="001A7449"/>
    <w:rsid w:val="001B318D"/>
    <w:rsid w:val="001B3548"/>
    <w:rsid w:val="001B4A5A"/>
    <w:rsid w:val="001B5760"/>
    <w:rsid w:val="001B5AE0"/>
    <w:rsid w:val="001B6F24"/>
    <w:rsid w:val="001C0AF4"/>
    <w:rsid w:val="001C144D"/>
    <w:rsid w:val="001C317D"/>
    <w:rsid w:val="001D18C5"/>
    <w:rsid w:val="001D25EF"/>
    <w:rsid w:val="001E20FF"/>
    <w:rsid w:val="001E387C"/>
    <w:rsid w:val="001E4679"/>
    <w:rsid w:val="001E6772"/>
    <w:rsid w:val="001E7192"/>
    <w:rsid w:val="001F0C13"/>
    <w:rsid w:val="00201271"/>
    <w:rsid w:val="00204B12"/>
    <w:rsid w:val="002119B6"/>
    <w:rsid w:val="00214465"/>
    <w:rsid w:val="0021557F"/>
    <w:rsid w:val="00217F9B"/>
    <w:rsid w:val="002275C2"/>
    <w:rsid w:val="0023171B"/>
    <w:rsid w:val="0023189A"/>
    <w:rsid w:val="00234502"/>
    <w:rsid w:val="002369C9"/>
    <w:rsid w:val="00236D41"/>
    <w:rsid w:val="00246416"/>
    <w:rsid w:val="0025023D"/>
    <w:rsid w:val="002504BF"/>
    <w:rsid w:val="00254116"/>
    <w:rsid w:val="0025567E"/>
    <w:rsid w:val="00261102"/>
    <w:rsid w:val="00261124"/>
    <w:rsid w:val="00267E5C"/>
    <w:rsid w:val="0027077B"/>
    <w:rsid w:val="002734B2"/>
    <w:rsid w:val="00280954"/>
    <w:rsid w:val="002809E7"/>
    <w:rsid w:val="00283AFD"/>
    <w:rsid w:val="00284F9A"/>
    <w:rsid w:val="00285F7F"/>
    <w:rsid w:val="0029246B"/>
    <w:rsid w:val="0029295B"/>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5796"/>
    <w:rsid w:val="002C778D"/>
    <w:rsid w:val="002D1E37"/>
    <w:rsid w:val="002D3B68"/>
    <w:rsid w:val="002D3EAE"/>
    <w:rsid w:val="002D3FE6"/>
    <w:rsid w:val="002D3FEA"/>
    <w:rsid w:val="002D636A"/>
    <w:rsid w:val="002E11E9"/>
    <w:rsid w:val="002E757B"/>
    <w:rsid w:val="002F1690"/>
    <w:rsid w:val="002F3121"/>
    <w:rsid w:val="002F6100"/>
    <w:rsid w:val="002F647F"/>
    <w:rsid w:val="00302DA6"/>
    <w:rsid w:val="00303D9D"/>
    <w:rsid w:val="0031331C"/>
    <w:rsid w:val="00314821"/>
    <w:rsid w:val="00316D95"/>
    <w:rsid w:val="00320101"/>
    <w:rsid w:val="00320AD2"/>
    <w:rsid w:val="00320B23"/>
    <w:rsid w:val="003275A5"/>
    <w:rsid w:val="00332B81"/>
    <w:rsid w:val="00334B0E"/>
    <w:rsid w:val="00335FCC"/>
    <w:rsid w:val="003530DA"/>
    <w:rsid w:val="00353F08"/>
    <w:rsid w:val="0035555A"/>
    <w:rsid w:val="003603F7"/>
    <w:rsid w:val="00361A93"/>
    <w:rsid w:val="00366F60"/>
    <w:rsid w:val="00367C28"/>
    <w:rsid w:val="003718D2"/>
    <w:rsid w:val="003750B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3106"/>
    <w:rsid w:val="003E4790"/>
    <w:rsid w:val="003E519B"/>
    <w:rsid w:val="003E65D4"/>
    <w:rsid w:val="003E7B77"/>
    <w:rsid w:val="003F4018"/>
    <w:rsid w:val="003F4B31"/>
    <w:rsid w:val="003F5C72"/>
    <w:rsid w:val="003F684C"/>
    <w:rsid w:val="003F698A"/>
    <w:rsid w:val="003F6F88"/>
    <w:rsid w:val="00401440"/>
    <w:rsid w:val="00411417"/>
    <w:rsid w:val="004121E1"/>
    <w:rsid w:val="00415C29"/>
    <w:rsid w:val="00431CD7"/>
    <w:rsid w:val="00432179"/>
    <w:rsid w:val="004459E0"/>
    <w:rsid w:val="0045030B"/>
    <w:rsid w:val="00451096"/>
    <w:rsid w:val="00457CCD"/>
    <w:rsid w:val="00460FDF"/>
    <w:rsid w:val="004616D4"/>
    <w:rsid w:val="00464243"/>
    <w:rsid w:val="0046591B"/>
    <w:rsid w:val="00465CA7"/>
    <w:rsid w:val="0047137C"/>
    <w:rsid w:val="00472E9A"/>
    <w:rsid w:val="00474EC9"/>
    <w:rsid w:val="00481D13"/>
    <w:rsid w:val="00484C63"/>
    <w:rsid w:val="00487C0E"/>
    <w:rsid w:val="00487F3C"/>
    <w:rsid w:val="00497C68"/>
    <w:rsid w:val="004A0326"/>
    <w:rsid w:val="004B2BB2"/>
    <w:rsid w:val="004B39E9"/>
    <w:rsid w:val="004B5E6D"/>
    <w:rsid w:val="004B5E91"/>
    <w:rsid w:val="004B7D12"/>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263FF"/>
    <w:rsid w:val="005357FA"/>
    <w:rsid w:val="005417F0"/>
    <w:rsid w:val="00543364"/>
    <w:rsid w:val="00544658"/>
    <w:rsid w:val="005478AF"/>
    <w:rsid w:val="00547BDE"/>
    <w:rsid w:val="00550E66"/>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3DEE"/>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1527F"/>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139A"/>
    <w:rsid w:val="00682D0F"/>
    <w:rsid w:val="00693351"/>
    <w:rsid w:val="00695FA7"/>
    <w:rsid w:val="00696214"/>
    <w:rsid w:val="006A1B53"/>
    <w:rsid w:val="006A2BB2"/>
    <w:rsid w:val="006A4B2A"/>
    <w:rsid w:val="006A62DA"/>
    <w:rsid w:val="006B23EA"/>
    <w:rsid w:val="006B7EFA"/>
    <w:rsid w:val="006C3479"/>
    <w:rsid w:val="006C61C6"/>
    <w:rsid w:val="006C6FD4"/>
    <w:rsid w:val="006D0D37"/>
    <w:rsid w:val="006D6E17"/>
    <w:rsid w:val="006E26E8"/>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77268"/>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5A7"/>
    <w:rsid w:val="007B1A99"/>
    <w:rsid w:val="007B6076"/>
    <w:rsid w:val="007B6966"/>
    <w:rsid w:val="007C27F3"/>
    <w:rsid w:val="007C2AF8"/>
    <w:rsid w:val="007C5253"/>
    <w:rsid w:val="007C5C9A"/>
    <w:rsid w:val="007D0300"/>
    <w:rsid w:val="007D218D"/>
    <w:rsid w:val="007D3565"/>
    <w:rsid w:val="007D6854"/>
    <w:rsid w:val="007D6935"/>
    <w:rsid w:val="007E28B1"/>
    <w:rsid w:val="007E36D3"/>
    <w:rsid w:val="007E3909"/>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588B"/>
    <w:rsid w:val="00830382"/>
    <w:rsid w:val="00830877"/>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44A"/>
    <w:rsid w:val="00866887"/>
    <w:rsid w:val="008674AD"/>
    <w:rsid w:val="0087139A"/>
    <w:rsid w:val="008742ED"/>
    <w:rsid w:val="0087443D"/>
    <w:rsid w:val="00874850"/>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03EC2"/>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810B9"/>
    <w:rsid w:val="00982D6F"/>
    <w:rsid w:val="009A4664"/>
    <w:rsid w:val="009A5D69"/>
    <w:rsid w:val="009B43EE"/>
    <w:rsid w:val="009B5726"/>
    <w:rsid w:val="009B729E"/>
    <w:rsid w:val="009C11E1"/>
    <w:rsid w:val="009D13B5"/>
    <w:rsid w:val="009D5CA9"/>
    <w:rsid w:val="009E0D87"/>
    <w:rsid w:val="009E4864"/>
    <w:rsid w:val="009E5C8C"/>
    <w:rsid w:val="009E646E"/>
    <w:rsid w:val="009F2A4A"/>
    <w:rsid w:val="009F4101"/>
    <w:rsid w:val="00A02132"/>
    <w:rsid w:val="00A037DC"/>
    <w:rsid w:val="00A06A6E"/>
    <w:rsid w:val="00A0723F"/>
    <w:rsid w:val="00A136CC"/>
    <w:rsid w:val="00A14133"/>
    <w:rsid w:val="00A15209"/>
    <w:rsid w:val="00A16B12"/>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84D3E"/>
    <w:rsid w:val="00A87373"/>
    <w:rsid w:val="00A90413"/>
    <w:rsid w:val="00A91FB9"/>
    <w:rsid w:val="00A92C80"/>
    <w:rsid w:val="00A9301B"/>
    <w:rsid w:val="00A95243"/>
    <w:rsid w:val="00A96A9E"/>
    <w:rsid w:val="00AB6DFB"/>
    <w:rsid w:val="00AC1282"/>
    <w:rsid w:val="00AD6B0D"/>
    <w:rsid w:val="00AE03D3"/>
    <w:rsid w:val="00AE2780"/>
    <w:rsid w:val="00AE3703"/>
    <w:rsid w:val="00AF11F3"/>
    <w:rsid w:val="00AF222D"/>
    <w:rsid w:val="00AF39B9"/>
    <w:rsid w:val="00AF58FC"/>
    <w:rsid w:val="00AF79C7"/>
    <w:rsid w:val="00AF7E77"/>
    <w:rsid w:val="00B02E49"/>
    <w:rsid w:val="00B0422C"/>
    <w:rsid w:val="00B0723B"/>
    <w:rsid w:val="00B10039"/>
    <w:rsid w:val="00B103C5"/>
    <w:rsid w:val="00B11586"/>
    <w:rsid w:val="00B11E5D"/>
    <w:rsid w:val="00B1410E"/>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24AE"/>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209E"/>
    <w:rsid w:val="00C42F71"/>
    <w:rsid w:val="00C436DD"/>
    <w:rsid w:val="00C50CC4"/>
    <w:rsid w:val="00C5706F"/>
    <w:rsid w:val="00C60201"/>
    <w:rsid w:val="00C623F8"/>
    <w:rsid w:val="00C659D9"/>
    <w:rsid w:val="00C7106C"/>
    <w:rsid w:val="00C72F1C"/>
    <w:rsid w:val="00C748A3"/>
    <w:rsid w:val="00C74BA2"/>
    <w:rsid w:val="00C76E06"/>
    <w:rsid w:val="00C82AD7"/>
    <w:rsid w:val="00C875CA"/>
    <w:rsid w:val="00C946EC"/>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A6E"/>
    <w:rsid w:val="00D34B80"/>
    <w:rsid w:val="00D3766F"/>
    <w:rsid w:val="00D37895"/>
    <w:rsid w:val="00D45725"/>
    <w:rsid w:val="00D52C96"/>
    <w:rsid w:val="00D53D18"/>
    <w:rsid w:val="00D555DD"/>
    <w:rsid w:val="00D557B0"/>
    <w:rsid w:val="00D66A81"/>
    <w:rsid w:val="00D67F55"/>
    <w:rsid w:val="00D777B3"/>
    <w:rsid w:val="00D80DAA"/>
    <w:rsid w:val="00D8396B"/>
    <w:rsid w:val="00D878F3"/>
    <w:rsid w:val="00D91361"/>
    <w:rsid w:val="00D91391"/>
    <w:rsid w:val="00D9219B"/>
    <w:rsid w:val="00D93140"/>
    <w:rsid w:val="00D931F7"/>
    <w:rsid w:val="00D95026"/>
    <w:rsid w:val="00DA1EA1"/>
    <w:rsid w:val="00DA4575"/>
    <w:rsid w:val="00DA5067"/>
    <w:rsid w:val="00DA578D"/>
    <w:rsid w:val="00DA71BF"/>
    <w:rsid w:val="00DB07D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52AE"/>
    <w:rsid w:val="00E10DA9"/>
    <w:rsid w:val="00E20F10"/>
    <w:rsid w:val="00E2506D"/>
    <w:rsid w:val="00E25893"/>
    <w:rsid w:val="00E3189D"/>
    <w:rsid w:val="00E37514"/>
    <w:rsid w:val="00E44AC1"/>
    <w:rsid w:val="00E55437"/>
    <w:rsid w:val="00E5568B"/>
    <w:rsid w:val="00E57A03"/>
    <w:rsid w:val="00E66E6D"/>
    <w:rsid w:val="00E71120"/>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174A"/>
    <w:rsid w:val="00ED2680"/>
    <w:rsid w:val="00ED523F"/>
    <w:rsid w:val="00EE1BEE"/>
    <w:rsid w:val="00EE3CCC"/>
    <w:rsid w:val="00EE7444"/>
    <w:rsid w:val="00EF3D4B"/>
    <w:rsid w:val="00EF5D64"/>
    <w:rsid w:val="00F05142"/>
    <w:rsid w:val="00F0661A"/>
    <w:rsid w:val="00F255E2"/>
    <w:rsid w:val="00F31DF0"/>
    <w:rsid w:val="00F3474D"/>
    <w:rsid w:val="00F35E56"/>
    <w:rsid w:val="00F40B56"/>
    <w:rsid w:val="00F45104"/>
    <w:rsid w:val="00F46ABD"/>
    <w:rsid w:val="00F501B0"/>
    <w:rsid w:val="00F52D1A"/>
    <w:rsid w:val="00F54232"/>
    <w:rsid w:val="00F5435D"/>
    <w:rsid w:val="00F544B3"/>
    <w:rsid w:val="00F55B39"/>
    <w:rsid w:val="00F67650"/>
    <w:rsid w:val="00F71F25"/>
    <w:rsid w:val="00F7497A"/>
    <w:rsid w:val="00F74C41"/>
    <w:rsid w:val="00F74E82"/>
    <w:rsid w:val="00F76181"/>
    <w:rsid w:val="00F806E0"/>
    <w:rsid w:val="00F81275"/>
    <w:rsid w:val="00F83AC0"/>
    <w:rsid w:val="00F84592"/>
    <w:rsid w:val="00F856AB"/>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16E4"/>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30721"/>
    <o:shapelayout v:ext="edit">
      <o:idmap v:ext="edit" data="1"/>
    </o:shapelayout>
  </w:shapeDefaults>
  <w:decimalSymbol w:val="."/>
  <w:listSeparator w:val=","/>
  <w14:docId w14:val="24C0EA86"/>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FF16E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89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7C671C-8ADA-4A55-886A-5499D5A8648E}">
  <ds:schemaRefs>
    <ds:schemaRef ds:uri="http://purl.org/dc/elements/1.1/"/>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FCF6B36-6A2A-42F1-8045-AB5CCE33D63A}">
  <ds:schemaRefs>
    <ds:schemaRef ds:uri="http://schemas.openxmlformats.org/officeDocument/2006/bibliography"/>
  </ds:schemaRefs>
</ds:datastoreItem>
</file>

<file path=customXml/itemProps4.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5.xml><?xml version="1.0" encoding="utf-8"?>
<ds:datastoreItem xmlns:ds="http://schemas.openxmlformats.org/officeDocument/2006/customXml" ds:itemID="{FBA7FB7E-DA81-4798-8B6F-85650014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2</TotalTime>
  <Pages>1</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2</cp:revision>
  <cp:lastPrinted>2015-05-29T13:53:00Z</cp:lastPrinted>
  <dcterms:created xsi:type="dcterms:W3CDTF">2025-08-11T16:40:00Z</dcterms:created>
  <dcterms:modified xsi:type="dcterms:W3CDTF">2025-08-11T16:40:00Z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claire_testoni@hsb.com</vt:lpwstr>
  </property>
  <property fmtid="{D5CDD505-2E9C-101B-9397-08002B2CF9AE}" pid="6" name="MSIP_Label_01ddd689-1b54-4017-aaea-969e7802d22c_SetDate">
    <vt:lpwstr>2019-04-18T12:00:00.2007584Z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claire_testoni@hsb.com</vt:lpwstr>
  </property>
  <property fmtid="{D5CDD505-2E9C-101B-9397-08002B2CF9AE}" pid="13" name="MSIP_Label_9805f1d6-ddd4-440e-89c4-7ba0aee99abb_SetDate">
    <vt:lpwstr>2019-04-18T12:00:00.2007584Z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